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zf1l9pvuk6sg" w:id="0"/>
      <w:bookmarkEnd w:id="0"/>
      <w:r w:rsidDel="00000000" w:rsidR="00000000" w:rsidRPr="00000000">
        <w:rPr>
          <w:rtl w:val="0"/>
        </w:rPr>
        <w:t xml:space="preserve">IT-OT Convergence Lesson Planning</w:t>
      </w:r>
    </w:p>
    <w:p w:rsidR="00000000" w:rsidDel="00000000" w:rsidP="00000000" w:rsidRDefault="00000000" w:rsidRPr="00000000" w14:paraId="00000002">
      <w:pPr>
        <w:pStyle w:val="Heading1"/>
        <w:rPr/>
      </w:pPr>
      <w:bookmarkStart w:colFirst="0" w:colLast="0" w:name="_vvconk16hgr3" w:id="1"/>
      <w:bookmarkEnd w:id="1"/>
      <w:r w:rsidDel="00000000" w:rsidR="00000000" w:rsidRPr="00000000">
        <w:rPr>
          <w:rtl w:val="0"/>
        </w:rPr>
        <w:t xml:space="preserve">Module 2: Introduction to ICS Architecture</w:t>
      </w:r>
    </w:p>
    <w:p w:rsidR="00000000" w:rsidDel="00000000" w:rsidP="00000000" w:rsidRDefault="00000000" w:rsidRPr="00000000" w14:paraId="00000003">
      <w:pPr>
        <w:pStyle w:val="Heading2"/>
        <w:rPr/>
      </w:pPr>
      <w:bookmarkStart w:colFirst="0" w:colLast="0" w:name="_nwxclx5e3umm" w:id="2"/>
      <w:bookmarkEnd w:id="2"/>
      <w:r w:rsidDel="00000000" w:rsidR="00000000" w:rsidRPr="00000000">
        <w:rPr>
          <w:rtl w:val="0"/>
        </w:rPr>
        <w:t xml:space="preserve">Learning Objectives:</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Recognize terminology from Module 1</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Locate technology from Module 1 in operational models</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Define OT security considerations</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Define Defense in Depth</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Explain Defense in Depth layers</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Describe the Purdue Model</w:t>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Recognize ICS network levels</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Discuss basic security controls for OT</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Recall key security frameworks and their relevance to ICS environments</w:t>
      </w:r>
    </w:p>
    <w:p w:rsidR="00000000" w:rsidDel="00000000" w:rsidP="00000000" w:rsidRDefault="00000000" w:rsidRPr="00000000" w14:paraId="0000000D">
      <w:pPr>
        <w:pStyle w:val="Heading2"/>
        <w:rPr/>
      </w:pPr>
      <w:bookmarkStart w:colFirst="0" w:colLast="0" w:name="_u399e44ck7tv" w:id="3"/>
      <w:bookmarkEnd w:id="3"/>
      <w:r w:rsidDel="00000000" w:rsidR="00000000" w:rsidRPr="00000000">
        <w:rPr>
          <w:rtl w:val="0"/>
        </w:rPr>
        <w:t xml:space="preserve">Prerequisites: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Module 1</w:t>
      </w:r>
    </w:p>
    <w:p w:rsidR="00000000" w:rsidDel="00000000" w:rsidP="00000000" w:rsidRDefault="00000000" w:rsidRPr="00000000" w14:paraId="0000000F">
      <w:pPr>
        <w:pStyle w:val="Heading2"/>
        <w:rPr/>
      </w:pPr>
      <w:bookmarkStart w:colFirst="0" w:colLast="0" w:name="_lhrsedfx88g" w:id="4"/>
      <w:bookmarkEnd w:id="4"/>
      <w:r w:rsidDel="00000000" w:rsidR="00000000" w:rsidRPr="00000000">
        <w:rPr>
          <w:rtl w:val="0"/>
        </w:rPr>
        <w:t xml:space="preserve">Materials &amp; Resources: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Slides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Pharma IT Simulation Application</w:t>
      </w:r>
    </w:p>
    <w:p w:rsidR="00000000" w:rsidDel="00000000" w:rsidP="00000000" w:rsidRDefault="00000000" w:rsidRPr="00000000" w14:paraId="00000012">
      <w:pPr>
        <w:pStyle w:val="Heading2"/>
        <w:rPr/>
      </w:pPr>
      <w:bookmarkStart w:colFirst="0" w:colLast="0" w:name="_ke7sxcgtd692" w:id="5"/>
      <w:bookmarkEnd w:id="5"/>
      <w:r w:rsidDel="00000000" w:rsidR="00000000" w:rsidRPr="00000000">
        <w:rPr>
          <w:rtl w:val="0"/>
        </w:rPr>
        <w:t xml:space="preserve">Instructional Sequence:</w:t>
      </w:r>
    </w:p>
    <w:p w:rsidR="00000000" w:rsidDel="00000000" w:rsidP="00000000" w:rsidRDefault="00000000" w:rsidRPr="00000000" w14:paraId="00000013">
      <w:pPr>
        <w:pStyle w:val="Heading3"/>
        <w:rPr/>
      </w:pPr>
      <w:bookmarkStart w:colFirst="0" w:colLast="0" w:name="_xgpn80h9yg9p" w:id="6"/>
      <w:bookmarkEnd w:id="6"/>
      <w:r w:rsidDel="00000000" w:rsidR="00000000" w:rsidRPr="00000000">
        <w:rPr>
          <w:rtl w:val="0"/>
        </w:rPr>
        <w:t xml:space="preserve">Slides</w:t>
      </w:r>
    </w:p>
    <w:p w:rsidR="00000000" w:rsidDel="00000000" w:rsidP="00000000" w:rsidRDefault="00000000" w:rsidRPr="00000000" w14:paraId="00000014">
      <w:pPr>
        <w:rPr/>
      </w:pPr>
      <w:r w:rsidDel="00000000" w:rsidR="00000000" w:rsidRPr="00000000">
        <w:rPr>
          <w:rtl w:val="0"/>
        </w:rPr>
        <w:t xml:space="preserve">The first slide presents an opportunity to summarize the previous module. Alternatively, the instructor could prompt students to define and explain the terminology from the previous module, getting students into a mood to talk and allowing the instructor to correct any misunderstandings.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instructor can use the conceptual model to show a Distributed Control System that controls many field sites and remote stations. Be sure to point out the presence of RTU/PLC and describe how sensors and actuators would be connected to those. Then describe the connection back to SCADA services. What this model does not explain is how the data from, and commands to, those field sites and remote sites is transported. The instructor could give examples of that or ask students to speculate.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more comprehensive example goes into a bit more detail, showing connectivity by serial radio broadcast to sites nearby the control centers, but also data/command transport via the Internet to a remote site and a regional control center on a corporate enterprise network. There is a lot to explore on this slide. The instructor might ask students to interpret it and then guide that exploration.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safety system example gives the instructor a chance to speak about a nuclear reactor with two systems, one for humans to control the plant and another automated system to keep the reactor within safe parameters. It also represents a chance to speak about the cybersecurity ramifications of having that safety system, which leads into the next several slides.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next four slides establish security considerations for OT systems and draw student attention to similarities and differences between OT and IT systems.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next slide defines Defense in Depth and attributes it back to its historical military origin, the NSA and the US Department of Defense. From there, the next slides define a number of layers in a manner consistent with NIST 800-82.</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last lecture slide shows the Perdue Model. This is the instructor's opportunity to show both classic IT and OT environments with a DMZ between the two. Consider starting from the top, pointing out publicly exposed IT services such as the web server and email servers. From there, work into the traditional organizational network. After that, you can explore the intended separation of the OT environment from the IT environment. Show that without isolation of the OT environment, computers in the IT environment could be influencing the operations of the plant. Remind them OT devices have long lives and their communication protocols lack authentication, authorization, and encryption features.</w:t>
      </w:r>
    </w:p>
    <w:p w:rsidR="00000000" w:rsidDel="00000000" w:rsidP="00000000" w:rsidRDefault="00000000" w:rsidRPr="00000000" w14:paraId="00000021">
      <w:pPr>
        <w:pStyle w:val="Heading3"/>
        <w:rPr/>
      </w:pPr>
      <w:bookmarkStart w:colFirst="0" w:colLast="0" w:name="_iss5dhuo8byx" w:id="7"/>
      <w:bookmarkEnd w:id="7"/>
      <w:r w:rsidDel="00000000" w:rsidR="00000000" w:rsidRPr="00000000">
        <w:rPr>
          <w:rtl w:val="0"/>
        </w:rPr>
        <w:t xml:space="preserve">Pharma OT Simulation Demonstration</w:t>
      </w:r>
    </w:p>
    <w:p w:rsidR="00000000" w:rsidDel="00000000" w:rsidP="00000000" w:rsidRDefault="00000000" w:rsidRPr="00000000" w14:paraId="00000022">
      <w:pPr>
        <w:rPr/>
      </w:pPr>
      <w:r w:rsidDel="00000000" w:rsidR="00000000" w:rsidRPr="00000000">
        <w:rPr>
          <w:rtl w:val="0"/>
        </w:rPr>
        <w:t xml:space="preserve">There are fewer slides in this deck because the Pharma OT Simulation has lots of features that will take time to show. Like the Control Loop demonstration, this application is entirely contained in a single HTML file powered by JavaScript, with some supporting files. That is, it is easily deployed to a basic web server. At the time of this writing, it was also available at this URL:</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ab/>
        <w:t xml:space="preserve">https://www.its.ohio.edu/tong/iz/pharma/index.html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application does not collect any information about visitors. You should be able to have students use the application on their own computers.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Instructors can conduct a full demonstration and/or allow students to undertake guided exploration. It is suggested that Instructors get to know the following features before deciding how best to present this to their class.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 the upper left is the HMI control panel, which lists three different drugs that can be manufactured, bottled, and shipped. The "Dextorcaine" drug is intended to represent a controlled substance with significant health implications, such as being highly addictive. Press any of those buttons to see the factory communicate by sending packets to PLCs and see the PLCs control the various stations and the conveyor belts. If you press "Penoxycyline" the factory will fill a bottle with that drug, label it, and routing to the appropriate bin for shipping. You can hit those HMI buttons multiple times or use the "Queue" interface that allows you to enter larger orders.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Once you have gotten used to seeing the factory work, then turn your attention to the "Internet" and the "Corporate Network." Note that there are firewalls present, but disabled. This allows you to show the potential effects of attacks on the factory. Without any active firewalls, the Purdue Model is essentially non-existent meaning computers on the Corporate Network, and the Internet, can talk to the HMI and the PLCs.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Click on the Corporate Network and the attack menu will open. This menu can be used to simulate a number of attacks as if coming from a corporate computer that has been compromised. That is, perhaps a corporate desktop computer has been compromised via malware and the attacker is now pivoting to attack OT devices. Without any other controls, the OT network's Ethernet is addressable and the protocols involved lack authentication, authorization, and encryption. That is, multiple vulnerabilities enable malicious activity.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Start with the "Lock HMI" button. Observe  the malicious packet crossing the network and disabling the HMI. Until the HMI is rebooted, this attack has inflicted a denial of service. Reboot the HMI.</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Clicking on the "Spoof" buttons allows the attacker to send signals to temporarily hijack the next HMI transaction. That is, spoofing the PNX button can make that button's label read differently. That is, you can make the PNX button read as if it would make any of the available drugs, even though clicking it will still make Penoxycyline. This might confuse an operator on the factory floor leading them to make the wrong drugs. Reboot the HMI to restore the buttons.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four PLCs can be sent signals directly from the compromised computer too. This is done via the PLC-1, PLC-2, PLC-3, and PLC-4 buttons. Experiment with these buttons. You should be able to get the factory to fill a bottle with Dextorcaine but label it as Penoxycyline and get it into the Penoxycyline bin for shipping. This would be potentially deadly for a customer and a reminder of the safety aspects of critical infrastructure and OT. Attacks of this type only influence the next action undertaken by the PLC.</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Next, show that the same attacks are available and work from the Internet.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Normally, people would immediately want to think of solutions, but there is another kind of attack that should be demonstrated first. That is, presently the attacks we've used only affect the PLCs for one iteration. But if the PLC is in "Program" (PRG) mode, then other attacks found at the bottom of the attack menu become possible. To put a PLC in PRG mode, press the PRG button on the PLC. Those attacks reprogram the PLC so that its behavior is changed for all subsequent transactions. A reprogrammed PLC will identify itself with a yellow header and the "PRG KEY" button will show the current program and let you reset the PLC.</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This is an opportunity to talk about how many PLC act when they are in program mode. They remain functional but they are willing to accept new programs over the network. Because they remain functional some engineers will leave PLCs in program mode so that they do not have to visit the factory floor to throw the physical switch from RUN to PRG, and back when they're done. In doing so, they potentially let others reprogram the PLC.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Now is the time to discuss firewalls. Start from the Internet and work inwardly. That is, by clicking on the Border Firewall you can turn on firewall rules to block traffic to certain devices. Then you can attempt to attack those devices and demonstrate the Border Firewall blocked the attack. Then you can turn to the Corporate Network and demonstrate the Border Firewall offers no protection against internal computers, so the Factory Firewall is needed.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When all of the firewalls are active then the Purdue Model is active. Devices may still need to be reset on the factory floor to return the factory back to normal operations, but some known vulnerabilities have been addressed and the security of the factory has been approved.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suggest allowing time for students to experiment with this application.</w:t>
      </w:r>
    </w:p>
    <w:p w:rsidR="00000000" w:rsidDel="00000000" w:rsidP="00000000" w:rsidRDefault="00000000" w:rsidRPr="00000000" w14:paraId="00000041">
      <w:pPr>
        <w:pStyle w:val="Heading2"/>
        <w:rPr/>
      </w:pPr>
      <w:bookmarkStart w:colFirst="0" w:colLast="0" w:name="_hsgrz9pmdq7w" w:id="8"/>
      <w:bookmarkEnd w:id="8"/>
      <w:r w:rsidDel="00000000" w:rsidR="00000000" w:rsidRPr="00000000">
        <w:rPr>
          <w:rtl w:val="0"/>
        </w:rPr>
        <w:t xml:space="preserve">Assessment Options:</w:t>
      </w:r>
    </w:p>
    <w:p w:rsidR="00000000" w:rsidDel="00000000" w:rsidP="00000000" w:rsidRDefault="00000000" w:rsidRPr="00000000" w14:paraId="00000042">
      <w:pPr>
        <w:numPr>
          <w:ilvl w:val="0"/>
          <w:numId w:val="4"/>
        </w:numPr>
        <w:ind w:left="720" w:hanging="360"/>
        <w:rPr>
          <w:u w:val="none"/>
        </w:rPr>
      </w:pPr>
      <w:r w:rsidDel="00000000" w:rsidR="00000000" w:rsidRPr="00000000">
        <w:rPr>
          <w:rtl w:val="0"/>
        </w:rPr>
        <w:t xml:space="preserve">Pharma OT Simulation Written Reflection</w:t>
      </w:r>
    </w:p>
    <w:p w:rsidR="00000000" w:rsidDel="00000000" w:rsidP="00000000" w:rsidRDefault="00000000" w:rsidRPr="00000000" w14:paraId="00000043">
      <w:pPr>
        <w:numPr>
          <w:ilvl w:val="0"/>
          <w:numId w:val="4"/>
        </w:numPr>
        <w:ind w:left="720" w:hanging="360"/>
        <w:rPr>
          <w:u w:val="none"/>
        </w:rPr>
      </w:pPr>
      <w:r w:rsidDel="00000000" w:rsidR="00000000" w:rsidRPr="00000000">
        <w:rPr>
          <w:rtl w:val="0"/>
        </w:rPr>
        <w:t xml:space="preserve">Demonstrate Pharma OT Simulation Objectives via Screenshot</w:t>
      </w:r>
    </w:p>
    <w:p w:rsidR="00000000" w:rsidDel="00000000" w:rsidP="00000000" w:rsidRDefault="00000000" w:rsidRPr="00000000" w14:paraId="00000044">
      <w:pPr>
        <w:numPr>
          <w:ilvl w:val="1"/>
          <w:numId w:val="4"/>
        </w:numPr>
        <w:ind w:left="1440" w:hanging="360"/>
        <w:rPr>
          <w:u w:val="none"/>
        </w:rPr>
      </w:pPr>
      <w:r w:rsidDel="00000000" w:rsidR="00000000" w:rsidRPr="00000000">
        <w:rPr>
          <w:rtl w:val="0"/>
        </w:rPr>
        <w:t xml:space="preserve">Reprogram PLCs and then fill Bin 1 with Red Vials.</w:t>
      </w:r>
    </w:p>
    <w:p w:rsidR="00000000" w:rsidDel="00000000" w:rsidP="00000000" w:rsidRDefault="00000000" w:rsidRPr="00000000" w14:paraId="00000045">
      <w:pPr>
        <w:numPr>
          <w:ilvl w:val="1"/>
          <w:numId w:val="4"/>
        </w:numPr>
        <w:ind w:left="1440" w:hanging="360"/>
        <w:rPr>
          <w:u w:val="none"/>
        </w:rPr>
      </w:pPr>
      <w:r w:rsidDel="00000000" w:rsidR="00000000" w:rsidRPr="00000000">
        <w:rPr>
          <w:rtl w:val="0"/>
        </w:rPr>
        <w:t xml:space="preserve">Reset Everything, Turn on all Firewalls.</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